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66" w:rsidRDefault="00271A66">
      <w:pPr>
        <w:spacing w:after="160" w:line="259" w:lineRule="auto"/>
        <w:rPr>
          <w:sz w:val="22"/>
          <w:szCs w:val="22"/>
        </w:rPr>
      </w:pPr>
    </w:p>
    <w:p w:rsidR="00271A66" w:rsidRDefault="00271A66">
      <w:pPr>
        <w:spacing w:after="160" w:line="259" w:lineRule="auto"/>
        <w:rPr>
          <w:sz w:val="22"/>
          <w:szCs w:val="22"/>
        </w:rPr>
      </w:pPr>
    </w:p>
    <w:p w:rsidR="00271A66" w:rsidRDefault="00557B53">
      <w:pPr>
        <w:spacing w:after="160" w:line="259" w:lineRule="auto"/>
        <w:jc w:val="center"/>
        <w:rPr>
          <w:sz w:val="36"/>
          <w:szCs w:val="36"/>
        </w:rPr>
      </w:pPr>
      <w:r>
        <w:rPr>
          <w:rFonts w:ascii="Calibri" w:eastAsia="Calibri" w:hAnsi="Calibri" w:cs="Calibri"/>
          <w:b/>
          <w:bCs/>
          <w:sz w:val="36"/>
          <w:szCs w:val="36"/>
          <w:u w:val="single"/>
        </w:rPr>
        <w:t>WORK PACKAGE 4 – CAPACITY BUILDING</w:t>
      </w:r>
    </w:p>
    <w:p w:rsidR="00271A66" w:rsidRDefault="00557B53">
      <w:pPr>
        <w:spacing w:after="160" w:line="259" w:lineRule="auto"/>
        <w:jc w:val="center"/>
        <w:rPr>
          <w:sz w:val="28"/>
          <w:szCs w:val="28"/>
        </w:rPr>
      </w:pPr>
      <w:r>
        <w:rPr>
          <w:rFonts w:ascii="Calibri" w:eastAsia="Calibri" w:hAnsi="Calibri" w:cs="Calibri"/>
          <w:b/>
          <w:bCs/>
          <w:sz w:val="28"/>
          <w:szCs w:val="28"/>
        </w:rPr>
        <w:t>TEMPLATE FOR COLLECTION OF GOOD PRACTICES</w:t>
      </w:r>
    </w:p>
    <w:p w:rsidR="00271A66" w:rsidRDefault="00271A66">
      <w:pPr>
        <w:spacing w:after="160" w:line="259" w:lineRule="auto"/>
        <w:rPr>
          <w:sz w:val="22"/>
          <w:szCs w:val="22"/>
        </w:rPr>
      </w:pPr>
    </w:p>
    <w:tbl>
      <w:tblPr>
        <w:tblW w:w="8779" w:type="dxa"/>
        <w:tblInd w:w="15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825"/>
        <w:gridCol w:w="5954"/>
      </w:tblGrid>
      <w:tr w:rsidR="00271A66">
        <w:trPr>
          <w:trHeight w:val="618"/>
        </w:trPr>
        <w:tc>
          <w:tcPr>
            <w:tcW w:w="2825" w:type="dxa"/>
            <w:tcBorders>
              <w:bottom w:val="single" w:sz="8" w:space="0" w:color="000000"/>
              <w:right w:val="single" w:sz="8" w:space="0" w:color="000000"/>
            </w:tcBorders>
            <w:shd w:val="clear" w:color="auto" w:fill="92D050"/>
            <w:tcMar>
              <w:top w:w="72" w:type="dxa"/>
              <w:left w:w="144" w:type="dxa"/>
              <w:bottom w:w="72" w:type="dxa"/>
              <w:right w:w="144" w:type="dxa"/>
            </w:tcMar>
            <w:hideMark/>
          </w:tcPr>
          <w:p w:rsidR="00271A66" w:rsidRDefault="00557B53">
            <w:pPr>
              <w:spacing w:after="160" w:line="259" w:lineRule="auto"/>
              <w:rPr>
                <w:color w:val="000000"/>
                <w:sz w:val="22"/>
                <w:szCs w:val="22"/>
              </w:rPr>
            </w:pPr>
            <w:r>
              <w:rPr>
                <w:rFonts w:ascii="Calibri" w:eastAsia="Calibri" w:hAnsi="Calibri" w:cs="Calibri"/>
                <w:b/>
                <w:bCs/>
                <w:color w:val="000000"/>
                <w:sz w:val="22"/>
                <w:szCs w:val="22"/>
              </w:rPr>
              <w:t>Name of the best practice</w:t>
            </w:r>
          </w:p>
        </w:tc>
        <w:tc>
          <w:tcPr>
            <w:tcW w:w="5954" w:type="dxa"/>
            <w:tcBorders>
              <w:left w:val="single" w:sz="8" w:space="0" w:color="000000"/>
              <w:bottom w:val="single" w:sz="8" w:space="0" w:color="000000"/>
            </w:tcBorders>
            <w:shd w:val="clear" w:color="auto" w:fill="D9D9D9"/>
            <w:tcMar>
              <w:top w:w="72" w:type="dxa"/>
              <w:left w:w="144" w:type="dxa"/>
              <w:bottom w:w="72" w:type="dxa"/>
              <w:right w:w="144" w:type="dxa"/>
            </w:tcMar>
          </w:tcPr>
          <w:p w:rsidR="00271A66" w:rsidRDefault="00C52BA1">
            <w:pPr>
              <w:spacing w:after="160" w:line="259" w:lineRule="auto"/>
              <w:rPr>
                <w:color w:val="000000"/>
                <w:sz w:val="22"/>
                <w:szCs w:val="22"/>
              </w:rPr>
            </w:pPr>
            <w:r>
              <w:rPr>
                <w:rFonts w:ascii="Proxima Nova W01" w:hAnsi="Proxima Nova W01"/>
              </w:rPr>
              <w:t>Craftex 2019</w:t>
            </w:r>
            <w:r>
              <w:rPr>
                <w:color w:val="000000"/>
                <w:sz w:val="22"/>
                <w:szCs w:val="22"/>
              </w:rPr>
              <w:t xml:space="preserve">- </w:t>
            </w:r>
            <w:r>
              <w:rPr>
                <w:rFonts w:ascii="Proxima Nova W01" w:hAnsi="Proxima Nova W01"/>
              </w:rPr>
              <w:t>Glasgow’s students’ world class skills</w:t>
            </w:r>
            <w:r>
              <w:rPr>
                <w:color w:val="000000"/>
                <w:sz w:val="22"/>
                <w:szCs w:val="22"/>
              </w:rPr>
              <w:t xml:space="preserve"> </w:t>
            </w:r>
          </w:p>
        </w:tc>
      </w:tr>
      <w:tr w:rsidR="00271A66">
        <w:trPr>
          <w:trHeight w:val="618"/>
        </w:trPr>
        <w:tc>
          <w:tcPr>
            <w:tcW w:w="2825" w:type="dxa"/>
            <w:tcBorders>
              <w:top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271A66" w:rsidRDefault="00557B53">
            <w:pPr>
              <w:spacing w:after="160" w:line="259" w:lineRule="auto"/>
              <w:rPr>
                <w:color w:val="000000"/>
                <w:sz w:val="22"/>
                <w:szCs w:val="22"/>
              </w:rPr>
            </w:pPr>
            <w:r>
              <w:rPr>
                <w:rFonts w:ascii="Calibri" w:eastAsia="Calibri" w:hAnsi="Calibri" w:cs="Calibri"/>
                <w:b/>
                <w:bCs/>
                <w:color w:val="000000"/>
                <w:sz w:val="22"/>
                <w:szCs w:val="22"/>
              </w:rPr>
              <w:t>Country</w:t>
            </w:r>
          </w:p>
        </w:tc>
        <w:tc>
          <w:tcPr>
            <w:tcW w:w="5954" w:type="dxa"/>
            <w:tcBorders>
              <w:top w:val="single" w:sz="8" w:space="0" w:color="000000"/>
              <w:left w:val="single" w:sz="8" w:space="0" w:color="000000"/>
              <w:bottom w:val="single" w:sz="8" w:space="0" w:color="000000"/>
            </w:tcBorders>
            <w:shd w:val="clear" w:color="auto" w:fill="D9D9D9"/>
            <w:tcMar>
              <w:top w:w="72" w:type="dxa"/>
              <w:left w:w="144" w:type="dxa"/>
              <w:bottom w:w="72" w:type="dxa"/>
              <w:right w:w="144" w:type="dxa"/>
            </w:tcMar>
          </w:tcPr>
          <w:p w:rsidR="00271A66" w:rsidRDefault="00C52BA1">
            <w:pPr>
              <w:spacing w:after="160" w:line="259" w:lineRule="auto"/>
              <w:rPr>
                <w:color w:val="000000"/>
                <w:sz w:val="22"/>
                <w:szCs w:val="22"/>
              </w:rPr>
            </w:pPr>
            <w:r>
              <w:rPr>
                <w:color w:val="000000"/>
                <w:sz w:val="22"/>
                <w:szCs w:val="22"/>
              </w:rPr>
              <w:t>Scotland (UK)</w:t>
            </w:r>
          </w:p>
        </w:tc>
      </w:tr>
      <w:tr w:rsidR="00271A66">
        <w:trPr>
          <w:trHeight w:val="618"/>
        </w:trPr>
        <w:tc>
          <w:tcPr>
            <w:tcW w:w="2825" w:type="dxa"/>
            <w:tcBorders>
              <w:top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271A66" w:rsidRDefault="00557B53">
            <w:pPr>
              <w:spacing w:after="160" w:line="259" w:lineRule="auto"/>
              <w:rPr>
                <w:color w:val="000000"/>
                <w:sz w:val="22"/>
                <w:szCs w:val="22"/>
              </w:rPr>
            </w:pPr>
            <w:r>
              <w:rPr>
                <w:rFonts w:ascii="Calibri" w:eastAsia="Calibri" w:hAnsi="Calibri" w:cs="Calibri"/>
                <w:b/>
                <w:bCs/>
                <w:color w:val="000000"/>
                <w:sz w:val="22"/>
                <w:szCs w:val="22"/>
              </w:rPr>
              <w:t>Description</w:t>
            </w:r>
          </w:p>
        </w:tc>
        <w:tc>
          <w:tcPr>
            <w:tcW w:w="5954" w:type="dxa"/>
            <w:tcBorders>
              <w:top w:val="single" w:sz="8" w:space="0" w:color="000000"/>
              <w:left w:val="single" w:sz="8" w:space="0" w:color="000000"/>
              <w:bottom w:val="single" w:sz="8" w:space="0" w:color="000000"/>
            </w:tcBorders>
            <w:shd w:val="clear" w:color="auto" w:fill="D9D9D9"/>
            <w:tcMar>
              <w:top w:w="72" w:type="dxa"/>
              <w:left w:w="144" w:type="dxa"/>
              <w:bottom w:w="72" w:type="dxa"/>
              <w:right w:w="144" w:type="dxa"/>
            </w:tcMar>
          </w:tcPr>
          <w:p w:rsidR="00271A66" w:rsidRDefault="00C52BA1" w:rsidP="00C52BA1">
            <w:pPr>
              <w:spacing w:after="160" w:line="259" w:lineRule="auto"/>
              <w:rPr>
                <w:color w:val="000000"/>
                <w:sz w:val="22"/>
                <w:szCs w:val="22"/>
              </w:rPr>
            </w:pPr>
            <w:r>
              <w:rPr>
                <w:rFonts w:ascii="Proxima Nova W01" w:hAnsi="Proxima Nova W01"/>
                <w:color w:val="444444"/>
              </w:rPr>
              <w:t xml:space="preserve">The Craftex exhibition displays a huge range of skills, showcasing the incredible work of Glasgow’s college students. </w:t>
            </w:r>
            <w:r>
              <w:rPr>
                <w:rFonts w:ascii="Proxima Nova W01" w:hAnsi="Proxima Nova W01"/>
                <w:color w:val="444444"/>
              </w:rPr>
              <w:t>Glasgow</w:t>
            </w:r>
            <w:r>
              <w:rPr>
                <w:rFonts w:ascii="Proxima Nova W01" w:hAnsi="Proxima Nova W01"/>
                <w:color w:val="444444"/>
              </w:rPr>
              <w:t xml:space="preserve"> has a distinguished, world class reputation in trades and crafts, and the Glasgow colleges and students that uphold and develop</w:t>
            </w:r>
            <w:r>
              <w:rPr>
                <w:rFonts w:ascii="Proxima Nova W01" w:hAnsi="Proxima Nova W01"/>
                <w:color w:val="444444"/>
              </w:rPr>
              <w:t xml:space="preserve"> skills showcased at the Craftex </w:t>
            </w:r>
            <w:r>
              <w:rPr>
                <w:rFonts w:ascii="Proxima Nova W01" w:hAnsi="Proxima Nova W01"/>
                <w:color w:val="444444"/>
              </w:rPr>
              <w:t>initiative</w:t>
            </w:r>
            <w:r>
              <w:rPr>
                <w:rFonts w:ascii="Proxima Nova W01" w:hAnsi="Proxima Nova W01"/>
                <w:color w:val="444444"/>
              </w:rPr>
              <w:t>.</w:t>
            </w:r>
            <w:r w:rsidR="006F410C">
              <w:rPr>
                <w:rFonts w:ascii="Proxima Nova W01" w:hAnsi="Proxima Nova W01"/>
                <w:color w:val="444444"/>
              </w:rPr>
              <w:t xml:space="preserve"> </w:t>
            </w:r>
            <w:r w:rsidR="006F410C">
              <w:rPr>
                <w:rFonts w:ascii="Segoe UI" w:hAnsi="Segoe UI" w:cs="Segoe UI"/>
                <w:color w:val="212529"/>
                <w:sz w:val="21"/>
                <w:szCs w:val="21"/>
                <w:lang w:val="en"/>
              </w:rPr>
              <w:t>Craftex exhibits hundreds of pieces of outstanding modern and traditional craftwork, showcasing the best of Glasgow's colleges students' work.</w:t>
            </w:r>
          </w:p>
        </w:tc>
      </w:tr>
      <w:tr w:rsidR="00271A66">
        <w:trPr>
          <w:trHeight w:val="618"/>
        </w:trPr>
        <w:tc>
          <w:tcPr>
            <w:tcW w:w="2825" w:type="dxa"/>
            <w:tcBorders>
              <w:top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271A66" w:rsidRDefault="00557B53">
            <w:pPr>
              <w:spacing w:after="160" w:line="259" w:lineRule="auto"/>
              <w:rPr>
                <w:color w:val="000000"/>
                <w:sz w:val="22"/>
                <w:szCs w:val="22"/>
              </w:rPr>
            </w:pPr>
            <w:r>
              <w:rPr>
                <w:rFonts w:ascii="Calibri" w:eastAsia="Calibri" w:hAnsi="Calibri" w:cs="Calibri"/>
                <w:b/>
                <w:bCs/>
                <w:color w:val="000000"/>
                <w:sz w:val="22"/>
                <w:szCs w:val="22"/>
              </w:rPr>
              <w:t>Target Group</w:t>
            </w:r>
          </w:p>
        </w:tc>
        <w:tc>
          <w:tcPr>
            <w:tcW w:w="5954" w:type="dxa"/>
            <w:tcBorders>
              <w:top w:val="single" w:sz="8" w:space="0" w:color="000000"/>
              <w:left w:val="single" w:sz="8" w:space="0" w:color="000000"/>
              <w:bottom w:val="single" w:sz="8" w:space="0" w:color="000000"/>
            </w:tcBorders>
            <w:shd w:val="clear" w:color="auto" w:fill="D9D9D9"/>
            <w:tcMar>
              <w:top w:w="72" w:type="dxa"/>
              <w:left w:w="144" w:type="dxa"/>
              <w:bottom w:w="72" w:type="dxa"/>
              <w:right w:w="144" w:type="dxa"/>
            </w:tcMar>
          </w:tcPr>
          <w:p w:rsidR="00271A66" w:rsidRDefault="00C52BA1">
            <w:pPr>
              <w:spacing w:after="160" w:line="259" w:lineRule="auto"/>
              <w:rPr>
                <w:color w:val="000000"/>
                <w:sz w:val="22"/>
                <w:szCs w:val="22"/>
              </w:rPr>
            </w:pPr>
            <w:r>
              <w:rPr>
                <w:color w:val="000000"/>
                <w:sz w:val="22"/>
                <w:szCs w:val="22"/>
              </w:rPr>
              <w:t>Students and Learners from Schools and Colleges in the Vocational sector.</w:t>
            </w:r>
          </w:p>
        </w:tc>
      </w:tr>
      <w:tr w:rsidR="00271A66">
        <w:trPr>
          <w:trHeight w:val="618"/>
        </w:trPr>
        <w:tc>
          <w:tcPr>
            <w:tcW w:w="2825" w:type="dxa"/>
            <w:tcBorders>
              <w:top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271A66" w:rsidRDefault="00557B53">
            <w:pPr>
              <w:spacing w:after="160" w:line="259" w:lineRule="auto"/>
              <w:rPr>
                <w:color w:val="000000"/>
                <w:sz w:val="22"/>
                <w:szCs w:val="22"/>
              </w:rPr>
            </w:pPr>
            <w:r>
              <w:rPr>
                <w:rFonts w:ascii="Calibri" w:eastAsia="Calibri" w:hAnsi="Calibri" w:cs="Calibri"/>
                <w:b/>
                <w:bCs/>
                <w:color w:val="000000"/>
                <w:sz w:val="22"/>
                <w:szCs w:val="22"/>
              </w:rPr>
              <w:t>Who is involved? How were they motivated to participate?</w:t>
            </w:r>
          </w:p>
        </w:tc>
        <w:tc>
          <w:tcPr>
            <w:tcW w:w="5954" w:type="dxa"/>
            <w:tcBorders>
              <w:top w:val="single" w:sz="8" w:space="0" w:color="000000"/>
              <w:left w:val="single" w:sz="8" w:space="0" w:color="000000"/>
              <w:bottom w:val="single" w:sz="8" w:space="0" w:color="000000"/>
            </w:tcBorders>
            <w:shd w:val="clear" w:color="auto" w:fill="D9D9D9"/>
            <w:tcMar>
              <w:top w:w="72" w:type="dxa"/>
              <w:left w:w="144" w:type="dxa"/>
              <w:bottom w:w="72" w:type="dxa"/>
              <w:right w:w="144" w:type="dxa"/>
            </w:tcMar>
          </w:tcPr>
          <w:p w:rsidR="00271A66" w:rsidRDefault="00C52BA1">
            <w:pPr>
              <w:spacing w:after="160" w:line="259" w:lineRule="auto"/>
              <w:rPr>
                <w:color w:val="000000"/>
                <w:sz w:val="22"/>
                <w:szCs w:val="22"/>
              </w:rPr>
            </w:pPr>
            <w:r>
              <w:rPr>
                <w:rFonts w:ascii="Proxima Nova W01" w:hAnsi="Proxima Nova W01"/>
                <w:color w:val="444444"/>
              </w:rPr>
              <w:t>Craftex is part of the first Trades House Education Festival, which brings all its educational events and awards under one banner. It is a unique initiative in the City, and one which Trades House hopes will help to motivate, inspire and reward those in education, from primary school children to students and modern apprentices.</w:t>
            </w:r>
          </w:p>
        </w:tc>
      </w:tr>
      <w:tr w:rsidR="00271A66">
        <w:trPr>
          <w:trHeight w:val="618"/>
        </w:trPr>
        <w:tc>
          <w:tcPr>
            <w:tcW w:w="2825" w:type="dxa"/>
            <w:tcBorders>
              <w:top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271A66" w:rsidRDefault="00557B53">
            <w:pPr>
              <w:spacing w:after="160" w:line="259" w:lineRule="auto"/>
              <w:rPr>
                <w:color w:val="000000"/>
                <w:sz w:val="22"/>
                <w:szCs w:val="22"/>
              </w:rPr>
            </w:pPr>
            <w:r>
              <w:rPr>
                <w:rFonts w:ascii="Calibri" w:eastAsia="Calibri" w:hAnsi="Calibri" w:cs="Calibri"/>
                <w:b/>
                <w:bCs/>
                <w:color w:val="000000"/>
                <w:sz w:val="22"/>
                <w:szCs w:val="22"/>
              </w:rPr>
              <w:t xml:space="preserve">Benefits </w:t>
            </w:r>
          </w:p>
        </w:tc>
        <w:tc>
          <w:tcPr>
            <w:tcW w:w="5954" w:type="dxa"/>
            <w:tcBorders>
              <w:top w:val="single" w:sz="8" w:space="0" w:color="000000"/>
              <w:left w:val="single" w:sz="8" w:space="0" w:color="000000"/>
              <w:bottom w:val="single" w:sz="8" w:space="0" w:color="000000"/>
            </w:tcBorders>
            <w:shd w:val="clear" w:color="auto" w:fill="D9D9D9"/>
            <w:tcMar>
              <w:top w:w="72" w:type="dxa"/>
              <w:left w:w="144" w:type="dxa"/>
              <w:bottom w:w="72" w:type="dxa"/>
              <w:right w:w="144" w:type="dxa"/>
            </w:tcMar>
          </w:tcPr>
          <w:p w:rsidR="00271A66" w:rsidRDefault="006F410C">
            <w:pPr>
              <w:spacing w:after="160" w:line="259" w:lineRule="auto"/>
              <w:rPr>
                <w:color w:val="000000"/>
                <w:sz w:val="22"/>
                <w:szCs w:val="22"/>
              </w:rPr>
            </w:pPr>
            <w:r>
              <w:rPr>
                <w:rFonts w:ascii="Segoe UI" w:hAnsi="Segoe UI" w:cs="Segoe UI"/>
                <w:color w:val="212529"/>
                <w:sz w:val="21"/>
                <w:szCs w:val="21"/>
                <w:lang w:val="en"/>
              </w:rPr>
              <w:t>Craftex is an ideal platform for students to</w:t>
            </w:r>
            <w:r>
              <w:rPr>
                <w:rFonts w:ascii="Segoe UI" w:hAnsi="Segoe UI" w:cs="Segoe UI"/>
                <w:color w:val="212529"/>
                <w:sz w:val="21"/>
                <w:szCs w:val="21"/>
                <w:lang w:val="en"/>
              </w:rPr>
              <w:t xml:space="preserve"> showcase their work in a City C</w:t>
            </w:r>
            <w:r>
              <w:rPr>
                <w:rFonts w:ascii="Segoe UI" w:hAnsi="Segoe UI" w:cs="Segoe UI"/>
                <w:color w:val="212529"/>
                <w:sz w:val="21"/>
                <w:szCs w:val="21"/>
                <w:lang w:val="en"/>
              </w:rPr>
              <w:t>entre exhibition, win prizes and gain industry recognition, make industry contacts and create employment opportunities for themselves. They are exhibiting alongside the best of Glasgow’s colleges’ students, and with over 50 categories ranging from Graphics to Nail Art, Industrial Product Design to DVD Technology and Plasterwork, there is a section for everyone.</w:t>
            </w:r>
          </w:p>
        </w:tc>
      </w:tr>
      <w:tr w:rsidR="00271A66">
        <w:trPr>
          <w:trHeight w:val="618"/>
        </w:trPr>
        <w:tc>
          <w:tcPr>
            <w:tcW w:w="2825" w:type="dxa"/>
            <w:tcBorders>
              <w:top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271A66" w:rsidRDefault="00557B53">
            <w:pPr>
              <w:spacing w:after="160" w:line="259" w:lineRule="auto"/>
              <w:rPr>
                <w:color w:val="000000"/>
                <w:sz w:val="22"/>
                <w:szCs w:val="22"/>
              </w:rPr>
            </w:pPr>
            <w:r>
              <w:rPr>
                <w:rFonts w:ascii="Calibri" w:eastAsia="Calibri" w:hAnsi="Calibri" w:cs="Calibri"/>
                <w:b/>
                <w:bCs/>
                <w:color w:val="000000"/>
                <w:sz w:val="22"/>
                <w:szCs w:val="22"/>
              </w:rPr>
              <w:t>Challenges and how they were overcome</w:t>
            </w:r>
          </w:p>
        </w:tc>
        <w:tc>
          <w:tcPr>
            <w:tcW w:w="5954" w:type="dxa"/>
            <w:tcBorders>
              <w:top w:val="single" w:sz="8" w:space="0" w:color="000000"/>
              <w:left w:val="single" w:sz="8" w:space="0" w:color="000000"/>
              <w:bottom w:val="single" w:sz="8" w:space="0" w:color="000000"/>
            </w:tcBorders>
            <w:shd w:val="clear" w:color="auto" w:fill="D9D9D9"/>
            <w:tcMar>
              <w:top w:w="72" w:type="dxa"/>
              <w:left w:w="144" w:type="dxa"/>
              <w:bottom w:w="72" w:type="dxa"/>
              <w:right w:w="144" w:type="dxa"/>
            </w:tcMar>
          </w:tcPr>
          <w:p w:rsidR="00271A66" w:rsidRDefault="00584DB0" w:rsidP="00584DB0">
            <w:pPr>
              <w:spacing w:after="160" w:line="259" w:lineRule="auto"/>
              <w:rPr>
                <w:color w:val="000000"/>
                <w:sz w:val="22"/>
                <w:szCs w:val="22"/>
              </w:rPr>
            </w:pPr>
            <w:r>
              <w:rPr>
                <w:color w:val="000000"/>
                <w:sz w:val="22"/>
                <w:szCs w:val="22"/>
              </w:rPr>
              <w:t>The Craftex is aimed at highlighting the skills from across the Glasgow Colleges, it is a very competitive event as the 3 Glasgow colleges compete to win within the many categories and it brings a number of educational awards together under one banner. A main challenge is first of all selecting within the individual college an artifact made by the college students to compete within a particular tradecraft sector. This is done via selection groups within each college. The artifact is then displayed at the Trades House and prize winners picked from an expert judging panel. The greatest challenge is choosing a winner from the multiple entries across all the various crafts. Overcome through the selection of a competent and impartial panel of judges.</w:t>
            </w:r>
          </w:p>
        </w:tc>
      </w:tr>
      <w:tr w:rsidR="00271A66">
        <w:trPr>
          <w:trHeight w:val="618"/>
        </w:trPr>
        <w:tc>
          <w:tcPr>
            <w:tcW w:w="2825" w:type="dxa"/>
            <w:tcBorders>
              <w:top w:val="single" w:sz="8" w:space="0" w:color="000000"/>
              <w:right w:val="single" w:sz="8" w:space="0" w:color="000000"/>
            </w:tcBorders>
            <w:shd w:val="clear" w:color="auto" w:fill="92D050"/>
            <w:tcMar>
              <w:top w:w="72" w:type="dxa"/>
              <w:left w:w="144" w:type="dxa"/>
              <w:bottom w:w="72" w:type="dxa"/>
              <w:right w:w="144" w:type="dxa"/>
            </w:tcMar>
            <w:hideMark/>
          </w:tcPr>
          <w:p w:rsidR="00271A66" w:rsidRDefault="00557B53">
            <w:pPr>
              <w:spacing w:after="160" w:line="259" w:lineRule="auto"/>
              <w:rPr>
                <w:color w:val="000000"/>
                <w:sz w:val="22"/>
                <w:szCs w:val="22"/>
              </w:rPr>
            </w:pPr>
            <w:r>
              <w:rPr>
                <w:rFonts w:ascii="Calibri" w:eastAsia="Calibri" w:hAnsi="Calibri" w:cs="Calibri"/>
                <w:b/>
                <w:bCs/>
                <w:color w:val="000000"/>
                <w:sz w:val="22"/>
                <w:szCs w:val="22"/>
              </w:rPr>
              <w:t>Step by step for the implementation of  the good practice (transferability to other VET college)</w:t>
            </w:r>
          </w:p>
        </w:tc>
        <w:tc>
          <w:tcPr>
            <w:tcW w:w="5954" w:type="dxa"/>
            <w:tcBorders>
              <w:top w:val="single" w:sz="8" w:space="0" w:color="000000"/>
              <w:left w:val="single" w:sz="8" w:space="0" w:color="000000"/>
            </w:tcBorders>
            <w:shd w:val="clear" w:color="auto" w:fill="D9D9D9"/>
            <w:tcMar>
              <w:top w:w="72" w:type="dxa"/>
              <w:left w:w="144" w:type="dxa"/>
              <w:bottom w:w="72" w:type="dxa"/>
              <w:right w:w="144" w:type="dxa"/>
            </w:tcMar>
          </w:tcPr>
          <w:p w:rsidR="00271A66" w:rsidRDefault="00584DB0" w:rsidP="00557B53">
            <w:pPr>
              <w:spacing w:after="160" w:line="259" w:lineRule="auto"/>
              <w:rPr>
                <w:color w:val="000000"/>
                <w:sz w:val="22"/>
                <w:szCs w:val="22"/>
              </w:rPr>
            </w:pPr>
            <w:r>
              <w:rPr>
                <w:color w:val="000000"/>
                <w:sz w:val="22"/>
                <w:szCs w:val="22"/>
              </w:rPr>
              <w:t>This is a local competition across the Glasgow Colleges</w:t>
            </w:r>
            <w:r w:rsidR="00557B53">
              <w:rPr>
                <w:color w:val="000000"/>
                <w:sz w:val="22"/>
                <w:szCs w:val="22"/>
              </w:rPr>
              <w:t>. It takes place in June, the academic year end. At the start of the year the competition is mentioned to the students and over the year the students aim to produce a final item which could go forward into the competition. The college staff/lecturers encourage their students throughout the year and students aim to complete an item for the competition as part of their final craft assessment. It could be transferred to other towns, cities, regions across the network to boost student performance throughout the academic year.</w:t>
            </w:r>
            <w:bookmarkStart w:id="0" w:name="_GoBack"/>
            <w:bookmarkEnd w:id="0"/>
          </w:p>
        </w:tc>
      </w:tr>
    </w:tbl>
    <w:p w:rsidR="00271A66" w:rsidRDefault="00271A66">
      <w:pPr>
        <w:spacing w:after="160" w:line="259" w:lineRule="auto"/>
        <w:rPr>
          <w:sz w:val="22"/>
          <w:szCs w:val="22"/>
        </w:rPr>
      </w:pPr>
    </w:p>
    <w:sectPr w:rsidR="00271A66">
      <w:headerReference w:type="default" r:id="rId6"/>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7B53">
      <w:r>
        <w:separator/>
      </w:r>
    </w:p>
  </w:endnote>
  <w:endnote w:type="continuationSeparator" w:id="0">
    <w:p w:rsidR="00000000" w:rsidRDefault="0055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01">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7B53">
      <w:r>
        <w:separator/>
      </w:r>
    </w:p>
  </w:footnote>
  <w:footnote w:type="continuationSeparator" w:id="0">
    <w:p w:rsidR="00000000" w:rsidRDefault="00557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66" w:rsidRDefault="00557B53">
    <w:pPr>
      <w:rPr>
        <w:sz w:val="22"/>
        <w:szCs w:val="22"/>
      </w:rPr>
    </w:pPr>
    <w:r>
      <w:rPr>
        <w:noProof/>
        <w:sz w:val="22"/>
        <w:szCs w:val="22"/>
        <w:lang w:val="en-GB" w:eastAsia="en-GB"/>
      </w:rPr>
      <w:drawing>
        <wp:inline distT="0" distB="0" distL="0" distR="0">
          <wp:extent cx="1800225" cy="1095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800225" cy="1095375"/>
                  </a:xfrm>
                  <a:prstGeom prst="rect">
                    <a:avLst/>
                  </a:prstGeom>
                </pic:spPr>
              </pic:pic>
            </a:graphicData>
          </a:graphic>
        </wp:inline>
      </w:drawing>
    </w:r>
    <w:r>
      <w:rPr>
        <w:rFonts w:ascii="Calibri" w:eastAsia="Calibri" w:hAnsi="Calibri" w:cs="Calibri"/>
        <w:sz w:val="22"/>
        <w:szCs w:val="22"/>
      </w:rPr>
      <w:t xml:space="preserve">                  </w:t>
    </w:r>
    <w:r>
      <w:rPr>
        <w:noProof/>
        <w:sz w:val="22"/>
        <w:szCs w:val="22"/>
        <w:lang w:val="en-GB" w:eastAsia="en-GB"/>
      </w:rPr>
      <w:drawing>
        <wp:inline distT="0" distB="0" distL="0" distR="0">
          <wp:extent cx="2905125" cy="638175"/>
          <wp:effectExtent l="0" t="0" r="0" b="0"/>
          <wp:docPr id="100003" name="Picture 100003" descr="Imagen que contiene exterior, ciel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
                  <a:stretch>
                    <a:fillRect/>
                  </a:stretch>
                </pic:blipFill>
                <pic:spPr>
                  <a:xfrm>
                    <a:off x="0" y="0"/>
                    <a:ext cx="2905125"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66"/>
    <w:rsid w:val="00271A66"/>
    <w:rsid w:val="00557B53"/>
    <w:rsid w:val="00584DB0"/>
    <w:rsid w:val="006F410C"/>
    <w:rsid w:val="00C5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0B28"/>
  <w15:docId w15:val="{4FC7B391-990E-4136-90AD-5391E7FE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0FE623F7D024589096653803790DE" ma:contentTypeVersion="9" ma:contentTypeDescription="Een nieuw document maken." ma:contentTypeScope="" ma:versionID="2efa2ced880a6e07f54ce07bf82e4a79">
  <xsd:schema xmlns:xsd="http://www.w3.org/2001/XMLSchema" xmlns:xs="http://www.w3.org/2001/XMLSchema" xmlns:p="http://schemas.microsoft.com/office/2006/metadata/properties" xmlns:ns2="a1058537-67cf-46ba-99de-102f640d242e" targetNamespace="http://schemas.microsoft.com/office/2006/metadata/properties" ma:root="true" ma:fieldsID="f5ca90d9ec3406f0f062592b7c2c635d"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A7054-F8C4-4445-AEA8-84A91A6BAFB2}"/>
</file>

<file path=customXml/itemProps2.xml><?xml version="1.0" encoding="utf-8"?>
<ds:datastoreItem xmlns:ds="http://schemas.openxmlformats.org/officeDocument/2006/customXml" ds:itemID="{4B003C08-FA31-46D2-ADDE-E9026CD0C97E}"/>
</file>

<file path=customXml/itemProps3.xml><?xml version="1.0" encoding="utf-8"?>
<ds:datastoreItem xmlns:ds="http://schemas.openxmlformats.org/officeDocument/2006/customXml" ds:itemID="{432C3032-41F7-4715-92D6-5B2EEEFFC70C}"/>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Anderson</dc:creator>
  <cp:lastModifiedBy>Jim Anderson</cp:lastModifiedBy>
  <cp:revision>2</cp:revision>
  <dcterms:created xsi:type="dcterms:W3CDTF">2020-04-26T18:52:00Z</dcterms:created>
  <dcterms:modified xsi:type="dcterms:W3CDTF">2020-04-26T18:52:00Z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